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02" w:rsidRPr="00353019" w:rsidRDefault="00767F02" w:rsidP="00353019">
      <w:pPr>
        <w:spacing w:after="0" w:line="240" w:lineRule="auto"/>
        <w:jc w:val="center"/>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УЖЕСТОЧЕНЫ ПРАВИЛА ПОЛУЧЕНИЯ ВОДИТЕЛЬСКОГО УДОСТОВЕРЕНИЯ</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Постановлением Правительства Российской Федерации от 24.10.2014 № 1097 «О допуске к управлению транспортными средствами» утвержден новый порядок проведения экзаменов на право управления транспортными средствами и выдачи водительских удостоверений, обмена иностранных водительских удостоверений, а также требования к техническим средствам контроля знаний и н</w:t>
      </w:r>
      <w:bookmarkStart w:id="0" w:name="_GoBack"/>
      <w:bookmarkEnd w:id="0"/>
      <w:r w:rsidRPr="00353019">
        <w:rPr>
          <w:rFonts w:ascii="Times New Roman" w:hAnsi="Times New Roman"/>
          <w:bCs/>
          <w:color w:val="000000"/>
          <w:kern w:val="36"/>
          <w:sz w:val="24"/>
          <w:szCs w:val="24"/>
          <w:lang w:eastAsia="ru-RU"/>
        </w:rPr>
        <w:t>авыков управления транспортными средствами кандидатов в водители, требования к маршрутам, на которых проводятся экзамены по управлению транспортным средством в условиях дорожного движения, требования к транспортным средствам, используемым для проведения практических экзаменов.</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Так, ужесточаются требования к экзаменаторам:</w:t>
      </w: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  исключается допуск к экзаменам после самостоятельной подготовки. К сдаче экзаменов будут допускаться лица, прошедшие в установленном порядке соответствующее профессиональное обучение по одной из программ профессиональной подготовки, переподготовки или повышения квалификации водителей транспортных средств соответствующих категорий и подкатегорий;</w:t>
      </w: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 заявление о допуске к экзаменам и выдаче водительского удостоверения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 экзамены состоят из теоретического и практических экзаменов, при этом практический экзамен разделен на две части - по первоначальным навыкам управления транспортным средством и по управлению транспортным средством в условиях дорожного движения. Таким образом, для получения права на управление необходимо сдать три экзамена: один теоретический и два практических;</w:t>
      </w: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 для лиц, не сдавших один из экзаменов с третьего и более раза, соответствующий повторный экзамен может быть назначен не ранее чем через 30 дней. Увеличен срок действия положительной оценки, полученной на теоретическом экзамене, с трех до шести месяцев;</w:t>
      </w: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 установлены требования к автомототранспортным средствам и прицепам к ним, на которых принимаются практические экзамены на получение права на управление транспортными средствами соответствующих категорий и подкатегорий. Предусмотрена возможность сдачи экзаменов на транспортных средствах как с механической, так и с автоматической трансмиссией.</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В приложениях приводятся требования: к техническим средствам контроля знаний и навыков управления транспортными средствами кандидатов в водители; к маршрутам, на которых проводятся экзамены по управлению транспортным средством в условиях дорожного движения; к транспортным средствам, используемым для проведения практических экзаменов.</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Более того, вносятся изменения в Правила дорожного движения в части уточнения ряда терминов и положений в связи с введением новых категорий и подкатегорий транспортных средств.</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jc w:val="center"/>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Изменение сроков уплаты налогов для физических лиц с 01 января 2015 года</w:t>
      </w:r>
    </w:p>
    <w:p w:rsidR="00767F02" w:rsidRPr="00353019" w:rsidRDefault="00767F02" w:rsidP="00353019">
      <w:pPr>
        <w:spacing w:after="0" w:line="240" w:lineRule="auto"/>
        <w:ind w:firstLine="708"/>
        <w:jc w:val="both"/>
        <w:rPr>
          <w:rFonts w:ascii="Times New Roman" w:hAnsi="Times New Roman"/>
          <w:sz w:val="24"/>
          <w:szCs w:val="24"/>
        </w:rPr>
      </w:pPr>
      <w:r w:rsidRPr="00353019">
        <w:rPr>
          <w:rFonts w:ascii="Times New Roman" w:hAnsi="Times New Roman"/>
          <w:sz w:val="24"/>
          <w:szCs w:val="24"/>
        </w:rPr>
        <w:t>Федеральным законом от 02.12.2013 г.  № 334-ФЗ внесены изменения в часть вторую Налогового кодекса Российской Федерации и статью 5 Закона Российской Федерации «О налогах на имущество физических лиц» в части срока уплаты земельного, транспортного налога и налога на имущество физических лиц. Срок уплаты определен не позднее 1 октября года, следующего за истекшим налоговым периодом.</w:t>
      </w:r>
    </w:p>
    <w:p w:rsidR="00767F02" w:rsidRPr="00353019" w:rsidRDefault="00767F02" w:rsidP="00353019">
      <w:pPr>
        <w:spacing w:after="0" w:line="240" w:lineRule="auto"/>
        <w:ind w:firstLine="708"/>
        <w:jc w:val="both"/>
        <w:rPr>
          <w:rFonts w:ascii="Times New Roman" w:hAnsi="Times New Roman"/>
          <w:sz w:val="24"/>
          <w:szCs w:val="24"/>
        </w:rPr>
      </w:pPr>
      <w:r w:rsidRPr="00353019">
        <w:rPr>
          <w:rFonts w:ascii="Times New Roman" w:hAnsi="Times New Roman"/>
          <w:sz w:val="24"/>
          <w:szCs w:val="24"/>
        </w:rPr>
        <w:t>Налоговым периодом в перечисленных выше случаях является календарный год.</w:t>
      </w:r>
    </w:p>
    <w:p w:rsidR="00767F02" w:rsidRPr="00353019" w:rsidRDefault="00767F02" w:rsidP="00353019">
      <w:pPr>
        <w:spacing w:after="0" w:line="240" w:lineRule="auto"/>
        <w:ind w:firstLine="708"/>
        <w:jc w:val="both"/>
        <w:rPr>
          <w:rFonts w:ascii="Times New Roman" w:hAnsi="Times New Roman"/>
          <w:sz w:val="24"/>
          <w:szCs w:val="24"/>
        </w:rPr>
      </w:pPr>
      <w:r w:rsidRPr="00353019">
        <w:rPr>
          <w:rFonts w:ascii="Times New Roman" w:hAnsi="Times New Roman"/>
          <w:sz w:val="24"/>
          <w:szCs w:val="24"/>
        </w:rPr>
        <w:t>Соответственно, нормы по изменению сроков уплаты налогов для физических лиц вступят в силу 1 января 2015 года. Следовательно, обязанность уплачивать имущественные налоги по новому сроку возникнет у граждан, начиная с 2015 года, то есть за налоговый период 2014 года.</w:t>
      </w:r>
    </w:p>
    <w:p w:rsidR="00767F02" w:rsidRPr="00353019" w:rsidRDefault="00767F02" w:rsidP="00353019">
      <w:pPr>
        <w:spacing w:after="0" w:line="240" w:lineRule="auto"/>
        <w:ind w:firstLine="708"/>
        <w:jc w:val="both"/>
        <w:rPr>
          <w:rFonts w:ascii="Times New Roman" w:hAnsi="Times New Roman"/>
          <w:sz w:val="24"/>
          <w:szCs w:val="24"/>
        </w:rPr>
      </w:pPr>
      <w:r w:rsidRPr="00353019">
        <w:rPr>
          <w:rFonts w:ascii="Times New Roman" w:hAnsi="Times New Roman"/>
          <w:sz w:val="24"/>
          <w:szCs w:val="24"/>
        </w:rPr>
        <w:t>Обязанность физических лиц уплачивать налоги предусмотрена Законом Российской Федерации «О налогах на имущество физических лиц» от 09.12.91 № 2003-1.</w:t>
      </w:r>
    </w:p>
    <w:p w:rsidR="00767F02" w:rsidRPr="00353019" w:rsidRDefault="00767F02" w:rsidP="00353019">
      <w:pPr>
        <w:spacing w:after="0" w:line="240" w:lineRule="auto"/>
        <w:ind w:firstLine="708"/>
        <w:jc w:val="both"/>
        <w:rPr>
          <w:rFonts w:ascii="Times New Roman" w:hAnsi="Times New Roman"/>
          <w:sz w:val="24"/>
          <w:szCs w:val="24"/>
        </w:rPr>
      </w:pPr>
      <w:r w:rsidRPr="00353019">
        <w:rPr>
          <w:rFonts w:ascii="Times New Roman" w:hAnsi="Times New Roman"/>
          <w:sz w:val="24"/>
          <w:szCs w:val="24"/>
        </w:rPr>
        <w:t>В случае неуплаты налога ст.122 Налогового кодекса Российской Федерации предусмотрена налоговая ответственность, в том числе и административная (ст. 19.5 Кодекса Российской Федерации об административных правонарушениях) в виде взыскания штрафа в размере от 300 до 500 рублей. Взыскание неуплаченной суммы налога производится в судебном порядке.</w:t>
      </w:r>
    </w:p>
    <w:p w:rsidR="00767F02" w:rsidRPr="00353019" w:rsidRDefault="00767F02" w:rsidP="00353019">
      <w:pPr>
        <w:spacing w:after="0" w:line="240" w:lineRule="auto"/>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Default="00767F02" w:rsidP="00353019">
      <w:pPr>
        <w:spacing w:after="0" w:line="240" w:lineRule="auto"/>
        <w:contextualSpacing/>
        <w:jc w:val="both"/>
        <w:rPr>
          <w:rFonts w:ascii="Times New Roman" w:hAnsi="Times New Roman"/>
          <w:bCs/>
          <w:color w:val="000000"/>
          <w:kern w:val="36"/>
          <w:sz w:val="24"/>
          <w:szCs w:val="24"/>
          <w:lang w:eastAsia="ru-RU"/>
        </w:rPr>
      </w:pPr>
    </w:p>
    <w:p w:rsidR="00767F02" w:rsidRPr="00353019" w:rsidRDefault="00767F02" w:rsidP="00353019">
      <w:pPr>
        <w:spacing w:after="0" w:line="240" w:lineRule="auto"/>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pStyle w:val="Heading2"/>
        <w:shd w:val="clear" w:color="auto" w:fill="FFFFFF"/>
        <w:spacing w:before="0" w:beforeAutospacing="0" w:after="0" w:afterAutospacing="0"/>
        <w:jc w:val="center"/>
        <w:rPr>
          <w:caps/>
          <w:sz w:val="24"/>
          <w:szCs w:val="24"/>
        </w:rPr>
      </w:pPr>
      <w:r w:rsidRPr="00353019">
        <w:rPr>
          <w:caps/>
          <w:sz w:val="24"/>
          <w:szCs w:val="24"/>
        </w:rPr>
        <w:t>ОСОБЕННОСТИ НАСЛЕДОВАНИЯ ЖИЛЫХ ПОМЕЩЕНИЙ</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Квартиры, жилые дома, изолированные комнаты в квартирах или жилых домах в соответствии с гражданским и жилищным законодательством относятся к жилым помещениям и являются объектами жилищных и гражданских правоотношений.</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Принадлежавшие умершему (наследодателю) на праве собственности жилые помещения входят в состав наследства и наследуются на общих основаниях. Как и иные объекты гражданских правоотношений, жилое помещение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Необходимо иметь в виду, что при прекращении общей собственности происходит следующее: участник долевой собственности может выделить долю в натуре, а участник совместной собственности - определить долю и только после этого выделить ее.</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В случае смерти участника совместной собственности определяется доля умершего, которая включается в состав наследуемого имущества.</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После смерти пережившего супруга - участника совместной собственности - наследство открывается в общем порядке. А значит, если есть завещание, то к наследованию призывается лицо (лица), указанное в нем. Если же завещания нет, то имущество, принадлежавшее супругу единолично, и право на долю в общей собственности переходят наследникам первой очереди, к числу которых относится и супруг умершего. Например, супруги на момент смерти одного из них имели на праве совместной собственности кроме прочего имущества квартиру. При этом завещания не было, а значит, наследование должно осуществляться по закону. С учетом того, что у супругов имелось двое детей, наследство открывается на 1/2 доли в праве собственности на квартиру, т.е. эта доля распределяется на троих наследников поровну - на пережившего супруга и двоих детей.</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Наследодатель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других лиц.</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Например, на наследника, к которому переходит квартира наследодатель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Статьей 33 Жилищного кодекса РФ предусмотрено, что гражданин, которому предоставлено право пользования жилым помещением на определенный в соответствующем завещании срок, пользуется данным жилым помещением наравне с собственником этого жилого помещения. По истечении установленного завещательным отказом срока пользования жилым помещением право пользования им у гражданина прекращается.</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При этом, данное лицо несет солидарную с собственником такого жилого помещения ответственность по обязательствам, вытекающим из пользования этим жилым помещением, если иное не предусмотрено соглашением между указанными собственником и гражданином.</w:t>
      </w: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Default="00767F02" w:rsidP="00353019">
      <w:pPr>
        <w:spacing w:after="0" w:line="240" w:lineRule="auto"/>
        <w:contextualSpacing/>
        <w:jc w:val="both"/>
        <w:rPr>
          <w:rFonts w:ascii="Times New Roman" w:hAnsi="Times New Roman"/>
          <w:sz w:val="24"/>
          <w:szCs w:val="24"/>
        </w:rPr>
      </w:pPr>
    </w:p>
    <w:p w:rsidR="00767F02" w:rsidRPr="00353019" w:rsidRDefault="00767F02" w:rsidP="00353019">
      <w:pPr>
        <w:spacing w:after="0" w:line="240" w:lineRule="auto"/>
        <w:contextualSpacing/>
        <w:jc w:val="both"/>
        <w:rPr>
          <w:rFonts w:ascii="Times New Roman" w:hAnsi="Times New Roman"/>
          <w:sz w:val="24"/>
          <w:szCs w:val="24"/>
        </w:rPr>
      </w:pPr>
    </w:p>
    <w:p w:rsidR="00767F02" w:rsidRPr="00353019" w:rsidRDefault="00767F02" w:rsidP="00353019">
      <w:pPr>
        <w:spacing w:after="0" w:line="240" w:lineRule="auto"/>
        <w:contextualSpacing/>
        <w:jc w:val="both"/>
        <w:rPr>
          <w:rFonts w:ascii="Times New Roman" w:hAnsi="Times New Roman"/>
          <w:sz w:val="24"/>
          <w:szCs w:val="24"/>
        </w:rPr>
      </w:pPr>
    </w:p>
    <w:p w:rsidR="00767F02" w:rsidRPr="00353019" w:rsidRDefault="00767F02" w:rsidP="00353019">
      <w:pPr>
        <w:shd w:val="clear" w:color="auto" w:fill="FFFFFF"/>
        <w:spacing w:after="0" w:line="240" w:lineRule="auto"/>
        <w:jc w:val="center"/>
        <w:outlineLvl w:val="1"/>
        <w:rPr>
          <w:rFonts w:ascii="Times New Roman" w:hAnsi="Times New Roman"/>
          <w:b/>
          <w:bCs/>
          <w:caps/>
          <w:sz w:val="24"/>
          <w:szCs w:val="24"/>
          <w:lang w:eastAsia="ru-RU"/>
        </w:rPr>
      </w:pPr>
      <w:r w:rsidRPr="00353019">
        <w:rPr>
          <w:rFonts w:ascii="Times New Roman" w:hAnsi="Times New Roman"/>
          <w:b/>
          <w:bCs/>
          <w:caps/>
          <w:sz w:val="24"/>
          <w:szCs w:val="24"/>
          <w:lang w:eastAsia="ru-RU"/>
        </w:rPr>
        <w:t>НОВОЕ В РАСПОРЯЖЕНИИ МАТЕРИНСКИМ КАПИТАЛОМ</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С 25 мая 2015 года средствами материнского капитала можно оплатить первоначальный взнос на покупку (строительство) жилья.</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Федеральным законом от 23.05.2015 №131-ФЗ внесены изменения в статьи 7 и 10 Федерального закона «О дополнительных мерах государственной поддержки семей, имеющих детей», касающиеся правил распоряжения средствами материнского (семейного) капитала и направления указанных средств на улучшение жилищных условий.</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 xml:space="preserve">В настоящее время обладатель государственного сертификата на материнский (семейный) капитал может направить соответствующие средства не только на погашение основного долга и уплату процентов по кредиту (займу) на строительство или приобретение жилья, но и на уплату первоначального взноса. </w:t>
      </w: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pStyle w:val="Heading2"/>
        <w:shd w:val="clear" w:color="auto" w:fill="FFFFFF"/>
        <w:spacing w:before="0" w:beforeAutospacing="0" w:after="0" w:afterAutospacing="0"/>
        <w:jc w:val="center"/>
        <w:rPr>
          <w:caps/>
          <w:sz w:val="24"/>
          <w:szCs w:val="24"/>
        </w:rPr>
      </w:pPr>
      <w:r w:rsidRPr="00353019">
        <w:rPr>
          <w:caps/>
          <w:sz w:val="24"/>
          <w:szCs w:val="24"/>
        </w:rPr>
        <w:t>ВНЕСЕНЫ ИЗМЕНЕНИЯ В ПРИМЕРНУЮ ФОРМУ ПЛАТЕЖНОГО ДОКУМЕНТА ДЛЯ ВНЕСЕНИЯ ПЛАТЫ ЗА СОДЕРЖАНИЕ И РЕМОНТ ЖИЛОГО ПОМЕЩЕНИЯ И ПРЕДОСТАВЛЕНИЕ КОММУНАЛЬНЫХ УСЛУГ</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С 09.06.2015 вступает в силу приказ Минстроя России от 29.12.2014 №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Согласно приказу в квитанцию включены 2 новых раздела  - «Расчет размера взноса на капитальный ремонт» и «Информация для внесения взноса на капитальный ремонт».</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Кроме того, добавлена строка «Контактные данные органа государственного жилищного надзора субъекта РФ, номер телефона, часы приема».</w:t>
      </w:r>
    </w:p>
    <w:p w:rsidR="00767F02" w:rsidRPr="00353019" w:rsidRDefault="00767F02" w:rsidP="00353019">
      <w:pPr>
        <w:pStyle w:val="NormalWeb"/>
        <w:shd w:val="clear" w:color="auto" w:fill="FFFFFF"/>
        <w:spacing w:before="0" w:beforeAutospacing="0" w:after="0" w:afterAutospacing="0"/>
        <w:jc w:val="both"/>
        <w:rPr>
          <w:color w:val="36363C"/>
        </w:rPr>
      </w:pPr>
    </w:p>
    <w:p w:rsidR="00767F02" w:rsidRPr="00353019" w:rsidRDefault="00767F02" w:rsidP="00353019">
      <w:pPr>
        <w:pStyle w:val="NormalWeb"/>
        <w:shd w:val="clear" w:color="auto" w:fill="FFFFFF"/>
        <w:spacing w:before="0" w:beforeAutospacing="0" w:after="0" w:afterAutospacing="0"/>
        <w:jc w:val="both"/>
        <w:rPr>
          <w:color w:val="36363C"/>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Pr="00353019" w:rsidRDefault="00767F02" w:rsidP="00353019">
      <w:pPr>
        <w:spacing w:after="0" w:line="240" w:lineRule="auto"/>
        <w:contextualSpacing/>
        <w:jc w:val="center"/>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УЖЕСТОЧЕНЫ ПРАВИЛА ВЛАДЕНИЯ ОРУЖИЕМ И ЕГО НОШЕНИЯ</w:t>
      </w:r>
    </w:p>
    <w:p w:rsidR="00767F02" w:rsidRPr="00353019" w:rsidRDefault="00767F02" w:rsidP="00353019">
      <w:pPr>
        <w:spacing w:after="0" w:line="240" w:lineRule="auto"/>
        <w:contextualSpacing/>
        <w:jc w:val="center"/>
        <w:rPr>
          <w:rFonts w:ascii="Times New Roman" w:hAnsi="Times New Roman"/>
          <w:bCs/>
          <w:color w:val="000000"/>
          <w:kern w:val="36"/>
          <w:sz w:val="24"/>
          <w:szCs w:val="24"/>
          <w:lang w:eastAsia="ru-RU"/>
        </w:rPr>
      </w:pP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Федеральным законом от 21.07.2014 № 227-ФЗ внесены изменения в отдельные законодательные акты Российской Федерации в связи с совершенствованием законодательства об обороте оружия.</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Ужесточены правила владения оружием и его ношения. Запрещено носить оружие в состоянии опьянения. За нарушение этого запрета в части огнестрельного оружия будут штрафовать или лишать права на оружие. При этом само оружие могут конфисковать.</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Также вводится административная ответственность за отказ от прохождения медицинского освидетельствования на состояние опьянения. Такой отказ рассматривается как отягчающее обстоятельство. Прописан порядок проведения медицинского освидетельствования на состояние опьянения.</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Вводится запрет на ношение огнестрельного оружия ограниченного поражения на территории образовательных организаций (кроме тех, где предусмотрено использование оружия) и при нахождении в развлекательных организациях, которые работают ночью и где продают алкоголь (за исключением охранников).</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Согласно изменениям, внесенным в статью 13 Федерального закона «Об оружии», возраст, с которого гражданам разрешается приобретать гражданское огнестрельное оружие ограниченного поражения, повышен с 18 лет до 21 года. Исключение сделано лишь для лиц, прошедших или проходящих военную службу.</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Уточнен порядок медицинского освидетельствования на наличие медицинских противопоказаний к владению оружием. Так, осмотр врачом-психиатром и врачом-психиатром-наркологом должен проводиться только в государственной или муниципальной медицинской организации по месту жительства (пребывания) гражданина. Срок действия медицинского заключения для получения лицензии на приобретение оружия ограничен 1 годом со дня его выдачи.</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Кроме того, усиливается уголовная ответственность за умышленное причинение легкого, среднего или тяжкого вреда здоровью с применением оружия или предметов, используемых в его качестве. Данное обстоятельство рассматривается как отягчающее.</w:t>
      </w:r>
    </w:p>
    <w:p w:rsidR="00767F02" w:rsidRPr="00353019" w:rsidRDefault="00767F02" w:rsidP="00353019">
      <w:pPr>
        <w:spacing w:after="0" w:line="240" w:lineRule="auto"/>
        <w:ind w:firstLine="708"/>
        <w:contextualSpacing/>
        <w:jc w:val="both"/>
        <w:rPr>
          <w:rFonts w:ascii="Times New Roman" w:hAnsi="Times New Roman"/>
          <w:bCs/>
          <w:color w:val="000000"/>
          <w:kern w:val="36"/>
          <w:sz w:val="24"/>
          <w:szCs w:val="24"/>
          <w:lang w:eastAsia="ru-RU"/>
        </w:rPr>
      </w:pPr>
      <w:r w:rsidRPr="00353019">
        <w:rPr>
          <w:rFonts w:ascii="Times New Roman" w:hAnsi="Times New Roman"/>
          <w:bCs/>
          <w:color w:val="000000"/>
          <w:kern w:val="36"/>
          <w:sz w:val="24"/>
          <w:szCs w:val="24"/>
          <w:lang w:eastAsia="ru-RU"/>
        </w:rPr>
        <w:t>Также будут строже наказывать за небрежное хранение огнестрельного оружия. В соответствии со статьей 224 Уголовного кодекса Российской Федерации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будет наказываться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Если это повлекло смерть двух и более лиц, наказание может составить до 2 лет лишения свободы.</w:t>
      </w:r>
    </w:p>
    <w:p w:rsidR="00767F02" w:rsidRPr="00353019" w:rsidRDefault="00767F02" w:rsidP="00353019">
      <w:pPr>
        <w:spacing w:after="0" w:line="240" w:lineRule="auto"/>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jc w:val="center"/>
        <w:rPr>
          <w:rFonts w:ascii="Times New Roman" w:hAnsi="Times New Roman"/>
          <w:sz w:val="24"/>
          <w:szCs w:val="24"/>
        </w:rPr>
      </w:pPr>
    </w:p>
    <w:p w:rsidR="00767F02" w:rsidRPr="00353019" w:rsidRDefault="00767F02" w:rsidP="00353019">
      <w:pPr>
        <w:spacing w:after="0" w:line="240" w:lineRule="auto"/>
        <w:jc w:val="center"/>
        <w:rPr>
          <w:rFonts w:ascii="Times New Roman" w:hAnsi="Times New Roman"/>
          <w:sz w:val="24"/>
          <w:szCs w:val="24"/>
        </w:rPr>
      </w:pPr>
      <w:r w:rsidRPr="00353019">
        <w:rPr>
          <w:rFonts w:ascii="Times New Roman" w:hAnsi="Times New Roman"/>
          <w:sz w:val="24"/>
          <w:szCs w:val="24"/>
        </w:rPr>
        <w:t>ОТВЕТСТВЕННОСТЬ ЗА ЗЛОСТНОЕ УКЛОНЕНИЕ ОТ УПЛАТЫ ШТРАФА, НАЗНАЧЕННОГО ПРИГОВОРОМ СУДА ЗА СОВЕРШЕНИЕ ПРЕСТУПЛЕНИЯ</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В соответствии со статьей 32 Уголовно-исполнительного кодекса Российской Федерации злостно уклоняющимся от уплаты штрафа признается осужденный, не уплативший штраф либо часть штрафа в установленный 30-дневный срок со дня вступления приговора суда в законную  силу, а также  осужденный к штрафу с рассрочкой его выплаты, обязанный в 30-дневный  срок со дня  вступления судебного решения в законную силу уплатить  первую  часть  штрафа.</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Оставшиеся части штрафа осужденный обязан уплачивать ежемесячно не позднее последнего дня каждого последующего месяца.</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 xml:space="preserve">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направляет в суд представление о замене штрафа другим видом наказания.  </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В этом случае законом предусмотрена замена штрафа другими более строгими видами уголовного наказания (за исключением лишения свободы), в пределах санкции статьи, по которой был осужден виновный. При этом наказание не может быть условным.</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 об исполнительном производстве.</w:t>
      </w:r>
    </w:p>
    <w:p w:rsidR="00767F02" w:rsidRPr="00353019" w:rsidRDefault="00767F02" w:rsidP="00353019">
      <w:pPr>
        <w:spacing w:after="0" w:line="240" w:lineRule="auto"/>
        <w:contextualSpacing/>
        <w:jc w:val="both"/>
        <w:rPr>
          <w:rFonts w:ascii="Times New Roman" w:hAnsi="Times New Roman"/>
          <w:sz w:val="24"/>
          <w:szCs w:val="24"/>
        </w:rPr>
      </w:pPr>
      <w:r w:rsidRPr="00353019">
        <w:rPr>
          <w:rFonts w:ascii="Times New Roman" w:hAnsi="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hd w:val="clear" w:color="auto" w:fill="FFFFFF"/>
        <w:spacing w:after="0" w:line="240" w:lineRule="auto"/>
        <w:jc w:val="center"/>
        <w:outlineLvl w:val="1"/>
        <w:rPr>
          <w:rFonts w:ascii="Times New Roman" w:hAnsi="Times New Roman"/>
          <w:bCs/>
          <w:caps/>
          <w:sz w:val="24"/>
          <w:szCs w:val="24"/>
          <w:lang w:eastAsia="ru-RU"/>
        </w:rPr>
      </w:pPr>
      <w:r w:rsidRPr="00353019">
        <w:rPr>
          <w:rFonts w:ascii="Times New Roman" w:hAnsi="Times New Roman"/>
          <w:bCs/>
          <w:caps/>
          <w:sz w:val="24"/>
          <w:szCs w:val="24"/>
          <w:lang w:eastAsia="ru-RU"/>
        </w:rPr>
        <w:t>ОТВЕТСТВЕННОСТЬ ЗА ДЕЙСТВИЯ, ПОВЛЕКШИЕ ВОЗГОРАНИЯ В ЛЕСАХ</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С наступлением жаркой погоды актуальными являются вопросы борьбы с лесными пожарами.</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 xml:space="preserve"> Пожары — это неконтролируемый процесс, который влечет за собой гибель людей, животных, растительности и уничтожение материальных ценностей.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Причинами возникновения пожаров являются нарушения правил противопожарной безопасности, грозовые разряды, самовозгорания сухой растительности и торфа. Однако, практика показывает, что в большинстве случаев причинами возгораний в лесах является именно "человеческий фактор", то есть, либо неосторожное обращение граждан с огнем при разведении костров, сжигании травы, либо умышленный поджог.</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Напоминяем, что за такие действия для граждан предусмотрены различные виды ответственности.</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Если действия нарушителя не повлекли последствий, то к ним применяются нормы ст.8.32 Кодекса об административных правонарушениях РФ «Нарушение правил пожарной безопасности в лесах».</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Она предусматривает следующие положения:</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Нарушение правил пожарной безопасности в лесах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Несоблюдение правил пожарной безопасности в лесах в условиях особого противопожарного режима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Нарушение правил пожарной безопасности, повлекшее возникновение лесного пожара без причинения тяжкого вреда здоровью человека,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 Если противоправные действия правонарушителей повлекли ущерб лесному фонду, то наступает уголовная ответственность.</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 Она установлена ст. 261 Уголовного кодекса РФ «Уничтожение или повреждение лесных насаждений».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Эти же деяния, если они причинили крупный ущерб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Кроме того, уничтожение или повреждение лесных насаждений и иных насаждений умышленно, то есть путем поджога, иным общеопасным способом либо в результате загрязнения или иного негативного воздействия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Эти же деяния, если они причинили крупный ущерб -</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Крупным ущербом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767F02" w:rsidRPr="00353019" w:rsidRDefault="00767F02" w:rsidP="00353019">
      <w:pPr>
        <w:shd w:val="clear" w:color="auto" w:fill="FFFFFF"/>
        <w:spacing w:after="0" w:line="240" w:lineRule="auto"/>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Также следует помнить, что уполномоченными органами с правонарушителя будет взыскан причиненный государству материальный ущерб в порядке гражданского судопроизводства.</w:t>
      </w:r>
    </w:p>
    <w:p w:rsidR="00767F02" w:rsidRPr="00353019" w:rsidRDefault="00767F02" w:rsidP="00353019">
      <w:pPr>
        <w:spacing w:after="0" w:line="240" w:lineRule="auto"/>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p w:rsidR="00767F02" w:rsidRDefault="00767F02" w:rsidP="00353019">
      <w:pPr>
        <w:spacing w:after="0" w:line="240" w:lineRule="auto"/>
        <w:jc w:val="center"/>
        <w:rPr>
          <w:rFonts w:ascii="Times New Roman" w:hAnsi="Times New Roman"/>
          <w:b/>
          <w:bCs/>
          <w:color w:val="000000"/>
          <w:kern w:val="36"/>
          <w:sz w:val="24"/>
          <w:szCs w:val="24"/>
          <w:lang w:eastAsia="ru-RU"/>
        </w:rPr>
      </w:pPr>
      <w:r w:rsidRPr="00353019">
        <w:rPr>
          <w:rFonts w:ascii="Times New Roman" w:hAnsi="Times New Roman"/>
          <w:b/>
          <w:bCs/>
          <w:color w:val="000000"/>
          <w:kern w:val="36"/>
          <w:sz w:val="24"/>
          <w:szCs w:val="24"/>
          <w:lang w:eastAsia="ru-RU"/>
        </w:rPr>
        <w:t>Прокуратурой района защищены права инвалидов</w:t>
      </w:r>
    </w:p>
    <w:p w:rsidR="00767F02" w:rsidRPr="00353019" w:rsidRDefault="00767F02" w:rsidP="00353019">
      <w:pPr>
        <w:spacing w:after="0" w:line="240" w:lineRule="auto"/>
        <w:jc w:val="center"/>
        <w:rPr>
          <w:rFonts w:ascii="Times New Roman" w:hAnsi="Times New Roman"/>
          <w:b/>
          <w:bCs/>
          <w:color w:val="000000"/>
          <w:kern w:val="36"/>
          <w:sz w:val="24"/>
          <w:szCs w:val="24"/>
          <w:lang w:eastAsia="ru-RU"/>
        </w:rPr>
      </w:pPr>
    </w:p>
    <w:p w:rsidR="00767F02" w:rsidRPr="00353019" w:rsidRDefault="00767F02" w:rsidP="00353019">
      <w:pPr>
        <w:pStyle w:val="Style6"/>
        <w:widowControl/>
        <w:spacing w:line="240" w:lineRule="auto"/>
        <w:ind w:firstLine="709"/>
        <w:rPr>
          <w:rStyle w:val="FontStyle13"/>
          <w:sz w:val="24"/>
        </w:rPr>
      </w:pPr>
      <w:r w:rsidRPr="00353019">
        <w:rPr>
          <w:rStyle w:val="FontStyle13"/>
          <w:sz w:val="24"/>
        </w:rPr>
        <w:t>Прокуратурой района проверено исполнение органами местного самоуправления и организациями законодательства в сфере формирования безбарьерной среды для инвалидов и других маломобильных лиц на территории района.</w:t>
      </w:r>
    </w:p>
    <w:p w:rsidR="00767F02" w:rsidRPr="00353019" w:rsidRDefault="00767F02" w:rsidP="00353019">
      <w:pPr>
        <w:spacing w:after="0" w:line="240" w:lineRule="auto"/>
        <w:ind w:firstLine="708"/>
        <w:contextualSpacing/>
        <w:jc w:val="both"/>
        <w:rPr>
          <w:rStyle w:val="FontStyle13"/>
          <w:sz w:val="24"/>
          <w:szCs w:val="24"/>
        </w:rPr>
      </w:pPr>
      <w:r w:rsidRPr="00353019">
        <w:rPr>
          <w:rStyle w:val="FontStyle13"/>
          <w:sz w:val="24"/>
          <w:szCs w:val="24"/>
        </w:rPr>
        <w:t>проверено исполнение органами местного самоуправления и организациями законодательства в сфере формирования безбарьерной среды для инвалидов и других маломобильных лиц на территории района.</w:t>
      </w:r>
    </w:p>
    <w:p w:rsidR="00767F02" w:rsidRPr="00353019" w:rsidRDefault="00767F02" w:rsidP="00353019">
      <w:pPr>
        <w:spacing w:after="0" w:line="240" w:lineRule="auto"/>
        <w:ind w:firstLine="708"/>
        <w:contextualSpacing/>
        <w:jc w:val="both"/>
        <w:rPr>
          <w:rStyle w:val="FontStyle13"/>
          <w:sz w:val="24"/>
          <w:szCs w:val="24"/>
        </w:rPr>
      </w:pPr>
      <w:r w:rsidRPr="00353019">
        <w:rPr>
          <w:rStyle w:val="FontStyle13"/>
          <w:sz w:val="24"/>
          <w:szCs w:val="24"/>
        </w:rPr>
        <w:t>По результатам проверок в суд направлено 41 исковое заявление по вопросу обеспечения условий для инвалидов, использующих кресла-коляски, для беспрепятственного доступа к объектам социальной инфраструктуры.</w:t>
      </w:r>
    </w:p>
    <w:p w:rsidR="00767F02" w:rsidRDefault="00767F02" w:rsidP="00353019">
      <w:pPr>
        <w:spacing w:after="0" w:line="240" w:lineRule="auto"/>
        <w:ind w:firstLine="708"/>
        <w:contextualSpacing/>
        <w:jc w:val="both"/>
        <w:rPr>
          <w:rStyle w:val="FontStyle13"/>
          <w:sz w:val="24"/>
          <w:szCs w:val="24"/>
        </w:rPr>
      </w:pPr>
      <w:r w:rsidRPr="00353019">
        <w:rPr>
          <w:rStyle w:val="FontStyle13"/>
          <w:sz w:val="24"/>
          <w:szCs w:val="24"/>
        </w:rPr>
        <w:t>Все исковые заявления рассмотрены, 8-удовлетворены, 33 - прекращены в связи с добровольным исполнением требования прокурора.</w:t>
      </w: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Default="00767F02" w:rsidP="00353019">
      <w:pPr>
        <w:spacing w:after="0" w:line="240" w:lineRule="auto"/>
        <w:ind w:firstLine="708"/>
        <w:contextualSpacing/>
        <w:jc w:val="both"/>
        <w:rPr>
          <w:rStyle w:val="FontStyle13"/>
          <w:sz w:val="24"/>
          <w:szCs w:val="24"/>
        </w:rPr>
      </w:pPr>
    </w:p>
    <w:p w:rsidR="00767F02" w:rsidRPr="00353019" w:rsidRDefault="00767F02" w:rsidP="00353019">
      <w:pPr>
        <w:spacing w:after="0" w:line="240" w:lineRule="auto"/>
        <w:ind w:firstLine="708"/>
        <w:contextualSpacing/>
        <w:jc w:val="both"/>
        <w:rPr>
          <w:rStyle w:val="FontStyle13"/>
          <w:sz w:val="24"/>
          <w:szCs w:val="24"/>
        </w:rPr>
      </w:pPr>
    </w:p>
    <w:p w:rsidR="00767F02" w:rsidRPr="00353019" w:rsidRDefault="00767F02" w:rsidP="00353019">
      <w:pPr>
        <w:shd w:val="clear" w:color="auto" w:fill="FFFFFF"/>
        <w:spacing w:after="0" w:line="240" w:lineRule="auto"/>
        <w:jc w:val="center"/>
        <w:outlineLvl w:val="1"/>
        <w:rPr>
          <w:rFonts w:ascii="Times New Roman" w:hAnsi="Times New Roman"/>
          <w:b/>
          <w:bCs/>
          <w:caps/>
          <w:sz w:val="24"/>
          <w:szCs w:val="24"/>
          <w:lang w:eastAsia="ru-RU"/>
        </w:rPr>
      </w:pPr>
      <w:r w:rsidRPr="00353019">
        <w:rPr>
          <w:rFonts w:ascii="Times New Roman" w:hAnsi="Times New Roman"/>
          <w:b/>
          <w:bCs/>
          <w:caps/>
          <w:sz w:val="24"/>
          <w:szCs w:val="24"/>
          <w:lang w:eastAsia="ru-RU"/>
        </w:rPr>
        <w:t>ПРЕДОСТАВЛЕНИЕ ДЕНЕЖНЫХ ЗАЙМОВ НАСЕЛЕНИЮ</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В Российской Федерации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регулируется Федеральным законом от 21.12.2013 № 353-ФЗ «О потребительском кредите (займе)».</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Вместе с тем, практика показывает, что кредитными, а также коллекторскими организациями, часто допускаются нарушения данного Закона.</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 в соответствии с п.п. 1, 2 ст. 15 Закона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вправе взаимодействовать с заемщиком и лицами, предоставившими обеспечение по договору потребительского кредита (займа), используя: личные встречи, телефонные переговоры;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Таким образом, в процессе возврата задолженности во внесудебном порядке коллекторы вправе:</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вести с клиентом переговоры при личной встрече или по телефону,</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направлять письма и уведомления по почте, а также сообщения по электронной почте, смс-сообщения.</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В силу закона любые контакты с заемщиком допустимы в период с 8 до 22 часов по местному времени места проживания клиента в рабочие дни и с 9 до 20 в выходные и нерабочие праздничные дни.</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При этом стоит отметить, что взаимодействовать иным способом с заемщиком коллекторы могут только при наличии письменного согласия должника или лица, предоставившего обеспечение по договору потребительского кредита (займа).</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Также стоит отметить, что правом взыскивать задолженность с должника обладают только уполномоченный государственный орган – Федеральная служба судебных приставов. Коллекторские агентства не обладают правом взыскания, они вправе лишь вести переговоры.</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В силу положений п. 5 ст. 15 Закона при непосредственном общении с должником или лица, предоставившего обеспечение по договору потребительского кредита (займа), коллектор обязан сообщить наименование коллекторского агентства, адрес для направления корреспонденции, а также свои фамилию, имя, отчество (последнее при наличии) и должность. Если коллекторское агентство привлечено банком временно, когда задолженность не была ему уступлена, коллектор обязан назвать также наименование банка-кредитора.</w:t>
      </w:r>
    </w:p>
    <w:p w:rsidR="00767F02"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Таким образом, в случае, если лицами, осуществляющими деятельность по возврату задолженности, в ходе своей деятельности допускается высказывание угроз заёмщику, его родственникам, повреждается имущество заёмщика, а также общедомовое имущество, совершаются телефонные звонки заёмщику (членам его семьи), в том числе, в ночное время за защитой своих прав возможно обратиться в органы полиции, прокуратуры или в суд.</w:t>
      </w:r>
    </w:p>
    <w:p w:rsidR="00767F02" w:rsidRDefault="00767F02" w:rsidP="00353019">
      <w:pPr>
        <w:shd w:val="clear" w:color="auto" w:fill="FFFFFF"/>
        <w:spacing w:after="0" w:line="240" w:lineRule="auto"/>
        <w:jc w:val="both"/>
        <w:rPr>
          <w:rFonts w:ascii="Times New Roman" w:hAnsi="Times New Roman"/>
          <w:color w:val="36363C"/>
          <w:sz w:val="24"/>
          <w:szCs w:val="24"/>
          <w:lang w:eastAsia="ru-RU"/>
        </w:rPr>
      </w:pPr>
    </w:p>
    <w:p w:rsidR="00767F02" w:rsidRDefault="00767F02" w:rsidP="00353019">
      <w:pPr>
        <w:shd w:val="clear" w:color="auto" w:fill="FFFFFF"/>
        <w:spacing w:after="0" w:line="240" w:lineRule="auto"/>
        <w:jc w:val="both"/>
        <w:rPr>
          <w:rFonts w:ascii="Times New Roman" w:hAnsi="Times New Roman"/>
          <w:color w:val="36363C"/>
          <w:sz w:val="24"/>
          <w:szCs w:val="24"/>
          <w:lang w:eastAsia="ru-RU"/>
        </w:rPr>
      </w:pP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p>
    <w:p w:rsidR="00767F02" w:rsidRPr="00353019" w:rsidRDefault="00767F02" w:rsidP="00353019">
      <w:pPr>
        <w:spacing w:after="0" w:line="240" w:lineRule="auto"/>
        <w:rPr>
          <w:rFonts w:ascii="Times New Roman" w:hAnsi="Times New Roman"/>
          <w:sz w:val="24"/>
          <w:szCs w:val="24"/>
        </w:rPr>
      </w:pPr>
    </w:p>
    <w:p w:rsidR="00767F02" w:rsidRPr="00353019" w:rsidRDefault="00767F02" w:rsidP="00353019">
      <w:pPr>
        <w:pStyle w:val="Heading2"/>
        <w:shd w:val="clear" w:color="auto" w:fill="FFFFFF"/>
        <w:spacing w:before="0" w:beforeAutospacing="0" w:after="0" w:afterAutospacing="0"/>
        <w:jc w:val="center"/>
        <w:rPr>
          <w:caps/>
          <w:sz w:val="24"/>
          <w:szCs w:val="24"/>
        </w:rPr>
      </w:pPr>
      <w:r w:rsidRPr="00353019">
        <w:rPr>
          <w:caps/>
          <w:sz w:val="24"/>
          <w:szCs w:val="24"/>
        </w:rPr>
        <w:t>ОСОБЕННОСТИ ПРИМЕНЕНИЯ ФЕДЕРАЛЬНОГО ЗАКОНА «О ЗАКУПКАХ ТОВАРОВ, РАБОТ, УСЛУГ ОТДЕЛЬНЫМИ ВИДАМИ ЮРИДИЧЕСКИХ ЛИЦ»</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Федеральный закон от 18.07.2011 № 223-ФЗ «О закупках товаров, работ, услуг отдельными видами юридических лиц» (далее по тексту – Закон о закупках) устанавливает общие принципы закупок и основные требования к закупкам государственными корпорациями, государственными компаниями, субъектами естественных монополий, дочерними хозяйственными обществами, бюджетными учреждениями.</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Федеральная антимонопольная служба рассмотрела обращение о даче разъяснений по вопросам применения указанного федерального закона и согласно письму ФАС России от 17.11.2014 № АЦ/46541/14 «О рассмотрении обращения» действие Закона о закупках не распространяется на юридические лица, в уставном капитале которых доля участия РФ, субъекта РФ, муниципального образования в совокупности не превышает 50 процентов, на их дочерние хозяйственные общества и дочерние хозяйственные общества последних, если сумма их соответствующей выручки не превышает установленных значений суммы выручки, информация о которой размещена на официальном сайте www.zakupki.gov.ru (часть 2.1 статьи 1 данного Закона).</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Если на официальном сайте не размещена информация об объеме соответствующей выручки, хозяйственное общество, претендующее на исключение из сферы регулирования названного Закона о закупках, не вправе ссылаться на часть 2.1 статьи 1 Закона о закупках, даже если объем выручки данного хозяйственного общества не превышает установленные Законом о закупках пороговые значения.</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Порядок размещения на официальном сайте информации об объеме выручки отдельных видов юридических лиц, предусмотренной частью 2.1 статьи 1 Закона о закупках и требования к информации об объеме выручки, утверждены Постановлением Правительства РФ от 11.06.2013 № 494.</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Если в течение трех месяцев со дня вступления в силу Закона о закупках (распространения на заказчика требований Закона о закупках) заказчики не разместили в установленном им порядке утвержденное положение о закупке, такие заказчики при закупке руководствуются положениями Федерального закона «О контрактной системе в сфере закупок товаров, работ, услуг для обеспечения государственных и муниципальных нужд» в части определения поставщика до дня размещения утвержденного положения о закупке.</w:t>
      </w:r>
    </w:p>
    <w:p w:rsidR="00767F02" w:rsidRPr="00353019" w:rsidRDefault="00767F02" w:rsidP="00353019">
      <w:pPr>
        <w:pStyle w:val="NormalWeb"/>
        <w:shd w:val="clear" w:color="auto" w:fill="FFFFFF"/>
        <w:spacing w:before="0" w:beforeAutospacing="0" w:after="0" w:afterAutospacing="0"/>
        <w:jc w:val="both"/>
        <w:rPr>
          <w:color w:val="36363C"/>
        </w:rPr>
      </w:pPr>
      <w:r w:rsidRPr="00353019">
        <w:rPr>
          <w:color w:val="36363C"/>
        </w:rPr>
        <w:t>Таким образом, хозяйственные общества, не разместившие информацию об объеме соответствующей выручки в соответствии с требованиями части 2.1 статьи 1 Закона о закупках, обязаны при осуществлении закупок товаров, работ, услуг руководствоваться либо Законом о закупках и утвержденным и размещенным в соответствии с ним положением о закупке, либо Законом о контрактной системе.</w:t>
      </w:r>
    </w:p>
    <w:p w:rsidR="00767F02" w:rsidRDefault="00767F02" w:rsidP="00353019">
      <w:pPr>
        <w:pStyle w:val="NormalWeb"/>
        <w:shd w:val="clear" w:color="auto" w:fill="FFFFFF"/>
        <w:spacing w:before="0" w:beforeAutospacing="0" w:after="0" w:afterAutospacing="0"/>
        <w:jc w:val="both"/>
        <w:rPr>
          <w:color w:val="36363C"/>
        </w:rPr>
      </w:pPr>
      <w:r w:rsidRPr="00353019">
        <w:rPr>
          <w:color w:val="36363C"/>
        </w:rPr>
        <w:t>Кроме того, за нарушение порядка осуществления закупки товаров, работ, услуг отдельными видами юридических лиц предусмотрена административная ответственность (п. 3 ст. 7.32.3 КоАП РФ). Санкция данной статьи предусматривает наказание в виде административного штрафа на должностных лиц от 20 000 рублей до 30 000 рублей, на юридических лиц от 50 000 рублей до 100 000 рублей.</w:t>
      </w: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Default="00767F02" w:rsidP="00353019">
      <w:pPr>
        <w:pStyle w:val="NormalWeb"/>
        <w:shd w:val="clear" w:color="auto" w:fill="FFFFFF"/>
        <w:spacing w:before="0" w:beforeAutospacing="0" w:after="0" w:afterAutospacing="0"/>
        <w:jc w:val="both"/>
        <w:rPr>
          <w:color w:val="36363C"/>
        </w:rPr>
      </w:pPr>
    </w:p>
    <w:p w:rsidR="00767F02" w:rsidRPr="00353019" w:rsidRDefault="00767F02" w:rsidP="00353019">
      <w:pPr>
        <w:pStyle w:val="NormalWeb"/>
        <w:shd w:val="clear" w:color="auto" w:fill="FFFFFF"/>
        <w:spacing w:before="0" w:beforeAutospacing="0" w:after="0" w:afterAutospacing="0"/>
        <w:jc w:val="both"/>
        <w:rPr>
          <w:color w:val="36363C"/>
        </w:rPr>
      </w:pPr>
    </w:p>
    <w:p w:rsidR="00767F02" w:rsidRPr="00353019" w:rsidRDefault="00767F02" w:rsidP="00353019">
      <w:pPr>
        <w:spacing w:after="0" w:line="240" w:lineRule="auto"/>
        <w:jc w:val="center"/>
        <w:rPr>
          <w:rFonts w:ascii="Times New Roman" w:hAnsi="Times New Roman"/>
          <w:bCs/>
          <w:color w:val="000000"/>
          <w:kern w:val="36"/>
          <w:sz w:val="24"/>
          <w:szCs w:val="24"/>
          <w:lang w:eastAsia="ru-RU"/>
        </w:rPr>
      </w:pPr>
    </w:p>
    <w:p w:rsidR="00767F02" w:rsidRPr="00353019" w:rsidRDefault="00767F02" w:rsidP="00353019">
      <w:pPr>
        <w:spacing w:after="0" w:line="240" w:lineRule="auto"/>
        <w:jc w:val="center"/>
        <w:rPr>
          <w:rFonts w:ascii="Times New Roman" w:hAnsi="Times New Roman"/>
          <w:b/>
          <w:bCs/>
          <w:color w:val="000000"/>
          <w:kern w:val="36"/>
          <w:sz w:val="24"/>
          <w:szCs w:val="24"/>
          <w:lang w:eastAsia="ru-RU"/>
        </w:rPr>
      </w:pPr>
      <w:r w:rsidRPr="00353019">
        <w:rPr>
          <w:rFonts w:ascii="Times New Roman" w:hAnsi="Times New Roman"/>
          <w:b/>
          <w:bCs/>
          <w:color w:val="000000"/>
          <w:kern w:val="36"/>
          <w:sz w:val="24"/>
          <w:szCs w:val="24"/>
          <w:lang w:eastAsia="ru-RU"/>
        </w:rPr>
        <w:t>Прокуратурой района проверено исполнение законодательства в сфере окружающей среды и природопользовании</w:t>
      </w:r>
    </w:p>
    <w:p w:rsidR="00767F02" w:rsidRPr="00353019" w:rsidRDefault="00767F02" w:rsidP="00353019">
      <w:pPr>
        <w:spacing w:after="0" w:line="240" w:lineRule="auto"/>
        <w:ind w:firstLine="539"/>
        <w:contextualSpacing/>
        <w:jc w:val="both"/>
        <w:rPr>
          <w:rFonts w:ascii="Times New Roman" w:hAnsi="Times New Roman"/>
          <w:sz w:val="24"/>
          <w:szCs w:val="24"/>
          <w:lang w:eastAsia="ru-RU"/>
        </w:rPr>
      </w:pPr>
      <w:r w:rsidRPr="00353019">
        <w:rPr>
          <w:rFonts w:ascii="Times New Roman" w:hAnsi="Times New Roman"/>
          <w:sz w:val="24"/>
          <w:szCs w:val="24"/>
        </w:rPr>
        <w:t xml:space="preserve">Прокуратурой Октябрьского района проведена проверка исполнения федерального законодательства в сфере </w:t>
      </w:r>
      <w:r w:rsidRPr="00353019">
        <w:rPr>
          <w:rFonts w:ascii="Times New Roman" w:hAnsi="Times New Roman"/>
          <w:sz w:val="24"/>
          <w:szCs w:val="24"/>
          <w:lang w:eastAsia="ru-RU"/>
        </w:rPr>
        <w:t xml:space="preserve">охраны окружающей среды и природопользования на объекте </w:t>
      </w:r>
      <w:r w:rsidRPr="00353019">
        <w:rPr>
          <w:rFonts w:ascii="Times New Roman" w:hAnsi="Times New Roman"/>
          <w:sz w:val="24"/>
          <w:szCs w:val="24"/>
        </w:rPr>
        <w:t>площадки обезвреживания и рекультивации буровых отходов и нефтесодержащих отходов «Трифоновская», находящейся по адресу: Пермский край, Октябрьский муниципальный район, примерно 3,1 км юго-западнее д. Атнягузи</w:t>
      </w:r>
      <w:r w:rsidRPr="00353019">
        <w:rPr>
          <w:rFonts w:ascii="Times New Roman" w:hAnsi="Times New Roman"/>
          <w:sz w:val="24"/>
          <w:szCs w:val="24"/>
          <w:lang w:eastAsia="ru-RU"/>
        </w:rPr>
        <w:t>.</w:t>
      </w:r>
    </w:p>
    <w:p w:rsidR="00767F02" w:rsidRPr="00353019" w:rsidRDefault="00767F02" w:rsidP="00353019">
      <w:pPr>
        <w:spacing w:after="0" w:line="240" w:lineRule="auto"/>
        <w:ind w:firstLine="709"/>
        <w:jc w:val="both"/>
        <w:rPr>
          <w:rFonts w:ascii="Times New Roman" w:hAnsi="Times New Roman"/>
          <w:sz w:val="24"/>
          <w:szCs w:val="24"/>
        </w:rPr>
      </w:pPr>
      <w:r w:rsidRPr="00353019">
        <w:rPr>
          <w:rFonts w:ascii="Times New Roman" w:hAnsi="Times New Roman"/>
          <w:sz w:val="24"/>
          <w:szCs w:val="24"/>
        </w:rPr>
        <w:t>В нарушение федерального законодательства на момент проверки буферная емкость для приема нефтесодержащей жидкости (НСЖ) с содержанием нефтепродуктов свыше 5% на площадке МБР (микробиоремедиации) объемом 50 куб м отсутствует, содержание нефтепродуктов в нефтесодержащей жидкости не определяется.</w:t>
      </w:r>
    </w:p>
    <w:p w:rsidR="00767F02" w:rsidRPr="00353019" w:rsidRDefault="00767F02" w:rsidP="00353019">
      <w:pPr>
        <w:spacing w:after="0" w:line="240" w:lineRule="auto"/>
        <w:ind w:firstLine="709"/>
        <w:jc w:val="both"/>
        <w:rPr>
          <w:rFonts w:ascii="Times New Roman" w:hAnsi="Times New Roman"/>
          <w:sz w:val="24"/>
          <w:szCs w:val="24"/>
          <w:lang w:eastAsia="ru-RU"/>
        </w:rPr>
      </w:pPr>
      <w:r w:rsidRPr="00353019">
        <w:rPr>
          <w:rFonts w:ascii="Times New Roman" w:hAnsi="Times New Roman"/>
          <w:sz w:val="24"/>
          <w:szCs w:val="24"/>
        </w:rPr>
        <w:t xml:space="preserve">Негативными последствиями указанных выше нарушений требований норм федерального законодательства при срочном непринятии должных мер являются риски </w:t>
      </w:r>
      <w:r w:rsidRPr="00353019">
        <w:rPr>
          <w:rFonts w:ascii="Times New Roman" w:hAnsi="Times New Roman"/>
          <w:sz w:val="24"/>
          <w:szCs w:val="24"/>
          <w:lang w:eastAsia="ru-RU"/>
        </w:rPr>
        <w:t>захламления отходами производства и потребления земельных участков</w:t>
      </w:r>
      <w:r w:rsidRPr="00353019">
        <w:rPr>
          <w:rFonts w:ascii="Times New Roman" w:hAnsi="Times New Roman"/>
          <w:sz w:val="24"/>
          <w:szCs w:val="24"/>
        </w:rPr>
        <w:t xml:space="preserve"> и водных объектов</w:t>
      </w:r>
      <w:r w:rsidRPr="00353019">
        <w:rPr>
          <w:rFonts w:ascii="Times New Roman" w:hAnsi="Times New Roman"/>
          <w:sz w:val="24"/>
          <w:szCs w:val="24"/>
          <w:lang w:eastAsia="ru-RU"/>
        </w:rPr>
        <w:t xml:space="preserve">, </w:t>
      </w:r>
      <w:r w:rsidRPr="00353019">
        <w:rPr>
          <w:rFonts w:ascii="Times New Roman" w:hAnsi="Times New Roman"/>
          <w:sz w:val="24"/>
          <w:szCs w:val="24"/>
        </w:rPr>
        <w:t xml:space="preserve">а в последствии нарушение </w:t>
      </w:r>
      <w:r w:rsidRPr="00353019">
        <w:rPr>
          <w:rFonts w:ascii="Times New Roman" w:hAnsi="Times New Roman"/>
          <w:sz w:val="24"/>
          <w:szCs w:val="24"/>
          <w:lang w:eastAsia="ru-RU"/>
        </w:rPr>
        <w:t>прав и законных интересов граждан, организаций, общества или государства.</w:t>
      </w:r>
    </w:p>
    <w:p w:rsidR="00767F02" w:rsidRPr="00353019" w:rsidRDefault="00767F02" w:rsidP="00353019">
      <w:pPr>
        <w:spacing w:after="0" w:line="240" w:lineRule="auto"/>
        <w:ind w:firstLine="709"/>
        <w:jc w:val="both"/>
        <w:rPr>
          <w:rFonts w:ascii="Times New Roman" w:hAnsi="Times New Roman"/>
          <w:sz w:val="24"/>
          <w:szCs w:val="24"/>
        </w:rPr>
      </w:pPr>
      <w:r w:rsidRPr="00353019">
        <w:rPr>
          <w:rFonts w:ascii="Times New Roman" w:hAnsi="Times New Roman"/>
          <w:sz w:val="24"/>
          <w:szCs w:val="24"/>
        </w:rPr>
        <w:t>По результатам проверки прокуратурой района директору ООО «Военная экология» внесено представление. Представление удовлетворено, 1 лицо привлечено к дисциплинарной ответственности. В настоящий момент нарушения законодательства устранены.</w:t>
      </w:r>
    </w:p>
    <w:p w:rsidR="00767F02" w:rsidRPr="00353019" w:rsidRDefault="00767F02" w:rsidP="00353019">
      <w:pPr>
        <w:pStyle w:val="Style6"/>
        <w:widowControl/>
        <w:spacing w:line="240" w:lineRule="auto"/>
        <w:ind w:firstLine="709"/>
      </w:pPr>
    </w:p>
    <w:p w:rsidR="00767F02" w:rsidRPr="00353019" w:rsidRDefault="00767F02" w:rsidP="00353019">
      <w:pPr>
        <w:spacing w:after="0" w:line="240" w:lineRule="auto"/>
        <w:rPr>
          <w:rFonts w:ascii="Times New Roman" w:hAnsi="Times New Roman"/>
          <w:sz w:val="24"/>
          <w:szCs w:val="24"/>
        </w:rPr>
      </w:pPr>
    </w:p>
    <w:p w:rsidR="00767F02" w:rsidRPr="00353019" w:rsidRDefault="00767F02" w:rsidP="00353019">
      <w:pPr>
        <w:shd w:val="clear" w:color="auto" w:fill="FFFFFF"/>
        <w:spacing w:after="0" w:line="240" w:lineRule="auto"/>
        <w:jc w:val="center"/>
        <w:outlineLvl w:val="1"/>
        <w:rPr>
          <w:rFonts w:ascii="Times New Roman" w:hAnsi="Times New Roman"/>
          <w:b/>
          <w:bCs/>
          <w:caps/>
          <w:sz w:val="24"/>
          <w:szCs w:val="24"/>
          <w:lang w:eastAsia="ru-RU"/>
        </w:rPr>
      </w:pPr>
      <w:r w:rsidRPr="00353019">
        <w:rPr>
          <w:rFonts w:ascii="Times New Roman" w:hAnsi="Times New Roman"/>
          <w:b/>
          <w:bCs/>
          <w:caps/>
          <w:sz w:val="24"/>
          <w:szCs w:val="24"/>
          <w:lang w:eastAsia="ru-RU"/>
        </w:rPr>
        <w:t>С 01 ЯНВАРЯ 2015 ИЗМЕНЯЮТСЯ СТАВКИ ГОСУДАРСТВЕННЫХ ПОШЛИН</w:t>
      </w:r>
    </w:p>
    <w:p w:rsidR="00767F02" w:rsidRPr="00353019" w:rsidRDefault="00767F02" w:rsidP="00353019">
      <w:pPr>
        <w:shd w:val="clear" w:color="auto" w:fill="FFFFFF"/>
        <w:spacing w:after="0" w:line="240" w:lineRule="auto"/>
        <w:outlineLvl w:val="1"/>
        <w:rPr>
          <w:rFonts w:ascii="Times New Roman" w:hAnsi="Times New Roman"/>
          <w:b/>
          <w:bCs/>
          <w:caps/>
          <w:color w:val="003CAA"/>
          <w:sz w:val="24"/>
          <w:szCs w:val="24"/>
          <w:lang w:eastAsia="ru-RU"/>
        </w:rPr>
      </w:pP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22 октября 2014 г. принят Федеральный закон № 312-ФЗ «О внесении изменений в главу 25.3 части второй Налогового кодекса Российской Федерации» в соответствии с которым с 01 января 2015  изменяются ставки государственных пошлин, а также вводятся новые государственные пошлины.</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Так, повышаются суммы государственных пошлин, в том числе:</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выдачу свидетельства о признании иностранного образования и (или) иностранной квалификации с 4 000 рублей до 6 500 рублей (п. 49 пп. 1 ст. 333.33 Налогового кодекса Российской Федерации;</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выдачу дубликата свидетельства о признании иностранного образования и (или) иностранной квалификации с 200 рублей 300 рублей (п. 50 пп. 1 ст. 333.33 Налогового кодекса Российской Федерации);</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переоформление свидетельства или выдачу временного свидетельства о государственной аккредитации образовательного учреждения с 2000 рублей до 3000 рублей (п. 130, п. 131 пп. 1 ст. 333.33 Налогового кодекса Российской Федерации);</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Кроме того, с 01 января 2015 года, вводятся новые виды государственных пошлин:</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внесение в документы, содержащиеся в регистрационном досье на зарегистрированный лекарственный препарат для ветеринарного применения, изменений, не требующих проведения экспертизы лекарственного средства для ветеринарного применения, в размере 2 600 рублей (пп. 9.1 ст. 333.32.1 Налогового кодекса Российской Федерации);</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 для физических лиц - 200 рублей; для организаций - 600 рублей (пп. 28.1 п. 1 ст. 333.33 Налогового кодекса Российской Федерации);</w:t>
      </w:r>
    </w:p>
    <w:p w:rsidR="00767F02" w:rsidRDefault="00767F02" w:rsidP="00353019">
      <w:pPr>
        <w:shd w:val="clear" w:color="auto" w:fill="FFFFFF"/>
        <w:spacing w:after="0" w:line="240" w:lineRule="auto"/>
        <w:jc w:val="both"/>
        <w:rPr>
          <w:rFonts w:ascii="Times New Roman" w:hAnsi="Times New Roman"/>
          <w:sz w:val="24"/>
          <w:szCs w:val="24"/>
          <w:lang w:eastAsia="ru-RU"/>
        </w:rPr>
      </w:pPr>
      <w:r w:rsidRPr="00353019">
        <w:rPr>
          <w:rFonts w:ascii="Times New Roman" w:hAnsi="Times New Roman"/>
          <w:sz w:val="24"/>
          <w:szCs w:val="24"/>
          <w:lang w:eastAsia="ru-RU"/>
        </w:rPr>
        <w:t>-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 (пп. 135 п. 1 ст. 333.33 Налогового кодекса Российской Федерации).</w:t>
      </w:r>
    </w:p>
    <w:p w:rsidR="00767F02" w:rsidRPr="00353019" w:rsidRDefault="00767F02" w:rsidP="00353019">
      <w:pPr>
        <w:shd w:val="clear" w:color="auto" w:fill="FFFFFF"/>
        <w:spacing w:after="0" w:line="240" w:lineRule="auto"/>
        <w:jc w:val="both"/>
        <w:rPr>
          <w:rFonts w:ascii="Times New Roman" w:hAnsi="Times New Roman"/>
          <w:sz w:val="24"/>
          <w:szCs w:val="24"/>
          <w:lang w:eastAsia="ru-RU"/>
        </w:rPr>
      </w:pPr>
    </w:p>
    <w:p w:rsidR="00767F02" w:rsidRPr="00353019" w:rsidRDefault="00767F02" w:rsidP="00353019">
      <w:pPr>
        <w:shd w:val="clear" w:color="auto" w:fill="FFFFFF"/>
        <w:spacing w:after="0" w:line="240" w:lineRule="auto"/>
        <w:jc w:val="center"/>
        <w:outlineLvl w:val="1"/>
        <w:rPr>
          <w:rFonts w:ascii="Times New Roman" w:hAnsi="Times New Roman"/>
          <w:b/>
          <w:bCs/>
          <w:caps/>
          <w:sz w:val="24"/>
          <w:szCs w:val="24"/>
          <w:lang w:eastAsia="ru-RU"/>
        </w:rPr>
      </w:pPr>
      <w:r w:rsidRPr="00353019">
        <w:rPr>
          <w:rFonts w:ascii="Times New Roman" w:hAnsi="Times New Roman"/>
          <w:b/>
          <w:bCs/>
          <w:caps/>
          <w:sz w:val="24"/>
          <w:szCs w:val="24"/>
          <w:lang w:eastAsia="ru-RU"/>
        </w:rPr>
        <w:t>УТОЧНЕН ПОРЯДОК ОЦЕНКИ ПРИГОДНОСТИ ДЛЯ ПРОЖИВАНИЯ ПОМЕЩЕНИЙ И МНОГОКВАРТИРНЫХ ДОМОВ</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Постановлением Правительства РФ от 25.03.2015 № 269 внесены изменения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Согласно изменениям органы местного самоуправления смогут создавать комиссии для оценки соответствия федерального жилищного фонда установленным требованиям. Органы местного самоуправления наделяются полномочиями по созданию комиссий для оценки соответствия жилых помещений федерального жилищного фонда и многоквартирных домов, находящихся в федеральной собственности, установленным в Положении требованиям.</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Решение о признании помещения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Решение принимается в порядке, установленном этим федеральным органом исполнительной власти, в течение 30 дней со дня получения заключения комиссии.</w:t>
      </w:r>
    </w:p>
    <w:p w:rsidR="00767F02" w:rsidRPr="00353019" w:rsidRDefault="00767F02" w:rsidP="00353019">
      <w:pPr>
        <w:shd w:val="clear" w:color="auto" w:fill="FFFFFF"/>
        <w:spacing w:after="0" w:line="240" w:lineRule="auto"/>
        <w:jc w:val="both"/>
        <w:rPr>
          <w:rFonts w:ascii="Times New Roman" w:hAnsi="Times New Roman"/>
          <w:color w:val="36363C"/>
          <w:sz w:val="24"/>
          <w:szCs w:val="24"/>
          <w:lang w:eastAsia="ru-RU"/>
        </w:rPr>
      </w:pPr>
      <w:r w:rsidRPr="00353019">
        <w:rPr>
          <w:rFonts w:ascii="Times New Roman" w:hAnsi="Times New Roman"/>
          <w:color w:val="36363C"/>
          <w:sz w:val="24"/>
          <w:szCs w:val="24"/>
          <w:lang w:eastAsia="ru-RU"/>
        </w:rPr>
        <w:t>Постановление вступило в силу 4 апреля 2015 года.</w:t>
      </w:r>
    </w:p>
    <w:p w:rsidR="00767F02" w:rsidRPr="00353019" w:rsidRDefault="00767F02" w:rsidP="00353019">
      <w:pPr>
        <w:rPr>
          <w:rFonts w:ascii="Times New Roman" w:hAnsi="Times New Roman"/>
          <w:sz w:val="24"/>
          <w:szCs w:val="24"/>
        </w:rPr>
      </w:pPr>
    </w:p>
    <w:p w:rsidR="00767F02" w:rsidRPr="00353019" w:rsidRDefault="00767F02" w:rsidP="00353019">
      <w:pPr>
        <w:spacing w:after="0" w:line="240" w:lineRule="auto"/>
        <w:ind w:firstLine="708"/>
        <w:contextualSpacing/>
        <w:jc w:val="both"/>
        <w:rPr>
          <w:rFonts w:ascii="Times New Roman" w:hAnsi="Times New Roman"/>
          <w:sz w:val="24"/>
          <w:szCs w:val="24"/>
        </w:rPr>
      </w:pPr>
    </w:p>
    <w:sectPr w:rsidR="00767F02" w:rsidRPr="00353019" w:rsidSect="001A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BD2"/>
    <w:rsid w:val="001A430A"/>
    <w:rsid w:val="0020122B"/>
    <w:rsid w:val="002E5BD2"/>
    <w:rsid w:val="00353019"/>
    <w:rsid w:val="004E72DC"/>
    <w:rsid w:val="00767F02"/>
    <w:rsid w:val="009477DC"/>
    <w:rsid w:val="00950280"/>
    <w:rsid w:val="00D96B9E"/>
    <w:rsid w:val="00FF7A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D2"/>
    <w:pPr>
      <w:spacing w:after="200" w:line="276" w:lineRule="auto"/>
    </w:pPr>
    <w:rPr>
      <w:lang w:eastAsia="en-US"/>
    </w:rPr>
  </w:style>
  <w:style w:type="paragraph" w:styleId="Heading2">
    <w:name w:val="heading 2"/>
    <w:basedOn w:val="Normal"/>
    <w:link w:val="Heading2Char"/>
    <w:uiPriority w:val="99"/>
    <w:qFormat/>
    <w:locked/>
    <w:rsid w:val="0035301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3019"/>
    <w:rPr>
      <w:rFonts w:eastAsia="Times New Roman" w:cs="Times New Roman"/>
      <w:b/>
      <w:bCs/>
      <w:sz w:val="36"/>
      <w:szCs w:val="36"/>
      <w:lang w:val="ru-RU" w:eastAsia="ru-RU" w:bidi="ar-SA"/>
    </w:rPr>
  </w:style>
  <w:style w:type="paragraph" w:styleId="NormalWeb">
    <w:name w:val="Normal (Web)"/>
    <w:basedOn w:val="Normal"/>
    <w:uiPriority w:val="99"/>
    <w:semiHidden/>
    <w:rsid w:val="003530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353019"/>
    <w:pPr>
      <w:widowControl w:val="0"/>
      <w:autoSpaceDE w:val="0"/>
      <w:autoSpaceDN w:val="0"/>
      <w:adjustRightInd w:val="0"/>
      <w:spacing w:after="0" w:line="324" w:lineRule="exact"/>
      <w:ind w:firstLine="523"/>
      <w:jc w:val="both"/>
    </w:pPr>
    <w:rPr>
      <w:rFonts w:ascii="Times New Roman" w:eastAsia="Times New Roman" w:hAnsi="Times New Roman"/>
      <w:sz w:val="24"/>
      <w:szCs w:val="24"/>
      <w:lang w:eastAsia="ru-RU"/>
    </w:rPr>
  </w:style>
  <w:style w:type="character" w:customStyle="1" w:styleId="FontStyle13">
    <w:name w:val="Font Style13"/>
    <w:uiPriority w:val="99"/>
    <w:rsid w:val="00353019"/>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656685880">
      <w:marLeft w:val="0"/>
      <w:marRight w:val="0"/>
      <w:marTop w:val="0"/>
      <w:marBottom w:val="0"/>
      <w:divBdr>
        <w:top w:val="none" w:sz="0" w:space="0" w:color="auto"/>
        <w:left w:val="none" w:sz="0" w:space="0" w:color="auto"/>
        <w:bottom w:val="none" w:sz="0" w:space="0" w:color="auto"/>
        <w:right w:val="none" w:sz="0" w:space="0" w:color="auto"/>
      </w:divBdr>
    </w:div>
    <w:div w:id="656685881">
      <w:marLeft w:val="0"/>
      <w:marRight w:val="0"/>
      <w:marTop w:val="0"/>
      <w:marBottom w:val="0"/>
      <w:divBdr>
        <w:top w:val="none" w:sz="0" w:space="0" w:color="auto"/>
        <w:left w:val="none" w:sz="0" w:space="0" w:color="auto"/>
        <w:bottom w:val="none" w:sz="0" w:space="0" w:color="auto"/>
        <w:right w:val="none" w:sz="0" w:space="0" w:color="auto"/>
      </w:divBdr>
    </w:div>
    <w:div w:id="656685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4448</Words>
  <Characters>25358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Канина</dc:creator>
  <cp:keywords/>
  <dc:description/>
  <cp:lastModifiedBy>1</cp:lastModifiedBy>
  <cp:revision>4</cp:revision>
  <dcterms:created xsi:type="dcterms:W3CDTF">2014-12-05T05:33:00Z</dcterms:created>
  <dcterms:modified xsi:type="dcterms:W3CDTF">2015-06-19T10:38:00Z</dcterms:modified>
</cp:coreProperties>
</file>